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ORDINANCE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314-25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AN ORDINANCE AMENDING THE CODE OF ORDINANCES OF THE CITY OF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, IOWA,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BY AMENDING THE ESTABLISHED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SERVICE CHARGES.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Be it ordained by the City Council of the City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Iowa: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SECTION 1. SECTION MODIFIED.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Section 99.02 of the Code of Ordinances of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City of 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Iowa is repealed and following adopted in lieu thereof: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99.02    RATE.  Each customer shall pay a flat charge or “debt retirement charge” of FIFTEEN dollars ($15.00) per month.  In addition, each customer shall pay a “sewer user charge” at the rate of THIRTY-SIX cents ($0.36) per hundred (100) gallons of water and water service attributable to the customer for the property served.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   </w:t>
        <w:tab/>
        <w:t xml:space="preserve">Future Rates.  On each July 1, thereafter, said sewer user charge shall be increased by 2.0% over the rates in effect during the preceding year.   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SECTION 2. SEVERABILITY CLAUSE.  If any section, provision or part of this ordinance shall be adjudged invalid or unconstitutional, such adjudication shall not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affect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the validity of the ordinance as a whole or any section, provision or part thereof not adjudged invalid or unconstitutional.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t xml:space="preserve">SECTION 3. WHEN EFFECTIVE. This ordinance shall be in effect from July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1, 2025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and after its final passage, approval and publication as provided by law.</w:t>
        <w:br w:type="textWrapping"/>
        <w:br w:type="textWrapping"/>
        <w:t xml:space="preserve">Passed and Approved by the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 Mound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City Council on the _____ day 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Kurt Crosthwaite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Mayor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Attest: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br w:type="textWrapping"/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Meghan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Ganzer, City Clerk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rst Reading______________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Second Reading____________</w:t>
        <w:br w:type="textWrapping"/>
        <w:t xml:space="preserve">Third Reading_____________</w:t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 certify that the foregoing was published as Ordinance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on the_____day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July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  <w:tab/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Meghan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Ganzer, City Cler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effect w:val="none"/>
      <w:vertAlign w:val="baseline"/>
      <w:cs w:val="0"/>
      <w:em w:val="none"/>
      <w:lang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srEczVgrZkK7aYhu9qmViIdUog==">CgMxLjA4AHIhMUdUdUlzZXNSSDdkSHhXcFQ5ODdkdDZROG1KNUM4cTdW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2003-11-24T18:49:00Z</dcterms:created>
  <dc:creator>Unknown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